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06" w:rsidRDefault="007A4C06" w:rsidP="007A4C06">
      <w:pPr>
        <w:pStyle w:val="Heading4"/>
        <w:rPr>
          <w:sz w:val="22"/>
        </w:rPr>
      </w:pPr>
      <w:r>
        <w:rPr>
          <w:sz w:val="22"/>
        </w:rPr>
        <w:t>PIANO DI ATTIVITA’ ORDINARIA 2018</w:t>
      </w:r>
    </w:p>
    <w:p w:rsidR="007A4C06" w:rsidRDefault="007A4C06" w:rsidP="007A4C06">
      <w:pPr>
        <w:pStyle w:val="Heading4"/>
        <w:rPr>
          <w:sz w:val="22"/>
        </w:rPr>
      </w:pPr>
      <w:r>
        <w:rPr>
          <w:sz w:val="22"/>
        </w:rPr>
        <w:t>Obiettivi, strategie e struttura del piano</w:t>
      </w:r>
    </w:p>
    <w:p w:rsidR="007A4C06" w:rsidRDefault="007A4C06" w:rsidP="007A4C06"/>
    <w:p w:rsidR="007A4C06" w:rsidRPr="007A4C06" w:rsidRDefault="007A4C06" w:rsidP="007A4C06"/>
    <w:p w:rsidR="007A4C06" w:rsidRDefault="007A4C06" w:rsidP="007A4C06">
      <w:pPr>
        <w:jc w:val="both"/>
        <w:rPr>
          <w:rFonts w:ascii="Arial" w:hAnsi="Arial" w:cs="Arial"/>
          <w:sz w:val="22"/>
          <w:szCs w:val="22"/>
        </w:rPr>
      </w:pPr>
      <w:r w:rsidRPr="00993CB6">
        <w:rPr>
          <w:rFonts w:ascii="Arial" w:hAnsi="Arial" w:cs="Arial"/>
          <w:sz w:val="22"/>
          <w:szCs w:val="22"/>
        </w:rPr>
        <w:t>Il Piano</w:t>
      </w:r>
      <w:r>
        <w:rPr>
          <w:rFonts w:ascii="Arial" w:hAnsi="Arial" w:cs="Arial"/>
          <w:sz w:val="22"/>
          <w:szCs w:val="22"/>
        </w:rPr>
        <w:t xml:space="preserve"> ordinario di attività promozionale è tradizionalmente dedicato alle iniziative consolidate dell’ICE-Agenzia, espressione delle esigenze più sentite da parte delle imprese italiane, soprattutto piccole e medio piccole.</w:t>
      </w:r>
    </w:p>
    <w:p w:rsidR="007A4C06" w:rsidRPr="00993CB6" w:rsidRDefault="007A4C06" w:rsidP="007A4C06">
      <w:pPr>
        <w:rPr>
          <w:rFonts w:ascii="Arial" w:hAnsi="Arial" w:cs="Arial"/>
          <w:color w:val="0B5394"/>
          <w:sz w:val="22"/>
          <w:szCs w:val="22"/>
        </w:rPr>
      </w:pPr>
    </w:p>
    <w:p w:rsidR="007A4C06" w:rsidRDefault="007A4C06" w:rsidP="007A4C06">
      <w:pPr>
        <w:pStyle w:val="BodyText"/>
        <w:rPr>
          <w:sz w:val="22"/>
        </w:rPr>
      </w:pPr>
      <w:r>
        <w:rPr>
          <w:sz w:val="22"/>
        </w:rPr>
        <w:t xml:space="preserve">L’articolazione del Piano 2018 è stata definita tenendo conto delle indicazioni strategiche disposte a livello istituzionale in occasione della riunione della </w:t>
      </w:r>
      <w:r w:rsidRPr="00C63401">
        <w:rPr>
          <w:b/>
          <w:sz w:val="22"/>
        </w:rPr>
        <w:t xml:space="preserve">Cabina </w:t>
      </w:r>
      <w:r w:rsidRPr="009E6BC9">
        <w:rPr>
          <w:b/>
          <w:sz w:val="22"/>
        </w:rPr>
        <w:t xml:space="preserve">di Regia per </w:t>
      </w:r>
      <w:r w:rsidRPr="00993CB6">
        <w:rPr>
          <w:b/>
          <w:color w:val="000000" w:themeColor="text1"/>
          <w:sz w:val="22"/>
        </w:rPr>
        <w:t>l’Italia Internazionale del 17 ottobre 2017</w:t>
      </w:r>
      <w:r w:rsidRPr="00993CB6">
        <w:rPr>
          <w:color w:val="000000" w:themeColor="text1"/>
          <w:sz w:val="22"/>
        </w:rPr>
        <w:t xml:space="preserve">.  </w:t>
      </w:r>
      <w:r>
        <w:rPr>
          <w:sz w:val="22"/>
        </w:rPr>
        <w:t>Come di consueto, è stata altresì oggetto di condivisione, attraverso un confronto costante ed incontri dedicati, con le categorie produttive, con la cui collaborazione sono state individuate le modalità di intervento più vicine alle esigenze delle imprese destinatarie degli interventi.</w:t>
      </w:r>
    </w:p>
    <w:p w:rsidR="007A4C06" w:rsidRDefault="007A4C06" w:rsidP="007A4C06">
      <w:pPr>
        <w:pStyle w:val="BodyText"/>
        <w:rPr>
          <w:sz w:val="22"/>
        </w:rPr>
      </w:pPr>
    </w:p>
    <w:p w:rsidR="007A4C06" w:rsidRPr="00993CB6" w:rsidRDefault="007A4C06" w:rsidP="007A4C06">
      <w:pPr>
        <w:pStyle w:val="BodyText"/>
        <w:rPr>
          <w:color w:val="000000" w:themeColor="text1"/>
          <w:sz w:val="22"/>
        </w:rPr>
      </w:pPr>
      <w:r w:rsidRPr="00993CB6">
        <w:rPr>
          <w:color w:val="000000" w:themeColor="text1"/>
          <w:sz w:val="22"/>
        </w:rPr>
        <w:t xml:space="preserve">I fondi disponibili sono stati articolati in </w:t>
      </w:r>
      <w:r w:rsidRPr="00993CB6">
        <w:rPr>
          <w:b/>
          <w:color w:val="000000" w:themeColor="text1"/>
          <w:sz w:val="22"/>
        </w:rPr>
        <w:t>33 progetti di filiera</w:t>
      </w:r>
      <w:r w:rsidRPr="00993CB6">
        <w:rPr>
          <w:color w:val="000000" w:themeColor="text1"/>
          <w:sz w:val="22"/>
        </w:rPr>
        <w:t xml:space="preserve">, declinati in </w:t>
      </w:r>
      <w:r w:rsidRPr="00993CB6">
        <w:rPr>
          <w:b/>
          <w:color w:val="000000" w:themeColor="text1"/>
          <w:sz w:val="22"/>
        </w:rPr>
        <w:t>158 iniziative</w:t>
      </w:r>
      <w:r w:rsidRPr="00993CB6">
        <w:rPr>
          <w:color w:val="000000" w:themeColor="text1"/>
          <w:sz w:val="22"/>
        </w:rPr>
        <w:t xml:space="preserve">, in </w:t>
      </w:r>
      <w:r w:rsidRPr="00993CB6">
        <w:rPr>
          <w:b/>
          <w:color w:val="000000" w:themeColor="text1"/>
          <w:sz w:val="22"/>
        </w:rPr>
        <w:t>33</w:t>
      </w:r>
      <w:r w:rsidRPr="00993CB6">
        <w:rPr>
          <w:color w:val="000000" w:themeColor="text1"/>
          <w:sz w:val="22"/>
        </w:rPr>
        <w:t xml:space="preserve"> </w:t>
      </w:r>
      <w:r w:rsidRPr="00993CB6">
        <w:rPr>
          <w:b/>
          <w:color w:val="000000" w:themeColor="text1"/>
          <w:sz w:val="22"/>
        </w:rPr>
        <w:t>Paesi esteri</w:t>
      </w:r>
      <w:r w:rsidRPr="00993CB6">
        <w:rPr>
          <w:color w:val="000000" w:themeColor="text1"/>
          <w:sz w:val="22"/>
        </w:rPr>
        <w:t xml:space="preserve">, a supporto di </w:t>
      </w:r>
      <w:r w:rsidRPr="00993CB6">
        <w:rPr>
          <w:b/>
          <w:color w:val="000000" w:themeColor="text1"/>
          <w:sz w:val="22"/>
        </w:rPr>
        <w:t>18 comparti produttivi</w:t>
      </w:r>
      <w:r w:rsidRPr="00993CB6">
        <w:rPr>
          <w:color w:val="000000" w:themeColor="text1"/>
          <w:sz w:val="22"/>
        </w:rPr>
        <w:t>.</w:t>
      </w:r>
      <w:bookmarkStart w:id="0" w:name="_GoBack"/>
      <w:bookmarkEnd w:id="0"/>
    </w:p>
    <w:p w:rsidR="007A4C06" w:rsidRDefault="007A4C06" w:rsidP="007A4C06">
      <w:pPr>
        <w:pStyle w:val="BodyText"/>
        <w:rPr>
          <w:sz w:val="22"/>
        </w:rPr>
      </w:pPr>
    </w:p>
    <w:p w:rsidR="007A4C06" w:rsidRPr="00CB6DEA" w:rsidRDefault="007A4C06" w:rsidP="007A4C06">
      <w:pPr>
        <w:shd w:val="clear" w:color="auto" w:fill="FFFFFF"/>
        <w:jc w:val="both"/>
        <w:rPr>
          <w:rFonts w:ascii="Arial" w:hAnsi="Arial" w:cs="Arial"/>
          <w:sz w:val="22"/>
        </w:rPr>
      </w:pPr>
      <w:r w:rsidRPr="00CB6DEA">
        <w:rPr>
          <w:rFonts w:ascii="Arial" w:hAnsi="Arial" w:cs="Arial"/>
          <w:sz w:val="22"/>
        </w:rPr>
        <w:t xml:space="preserve">Le iniziative previste vanno dalla partecipazione ai più importanti eventi fieristici all’estero, alle missioni di operatori esteri in Italia ed italiani all’estero con l’organizzazione di </w:t>
      </w:r>
      <w:r w:rsidRPr="00CB6DEA">
        <w:rPr>
          <w:rFonts w:ascii="Arial" w:hAnsi="Arial" w:cs="Arial"/>
          <w:i/>
          <w:sz w:val="22"/>
        </w:rPr>
        <w:t>business meetings</w:t>
      </w:r>
      <w:r w:rsidRPr="00CB6DEA">
        <w:rPr>
          <w:rFonts w:ascii="Arial" w:hAnsi="Arial" w:cs="Arial"/>
          <w:sz w:val="22"/>
        </w:rPr>
        <w:t xml:space="preserve"> settoriali, alle campagne di comunicazione settoriali, ai desk di assistenza su specifiche tematiche, alle azioni di formazione.</w:t>
      </w:r>
    </w:p>
    <w:p w:rsidR="007A4C06" w:rsidRDefault="007A4C06" w:rsidP="007A4C06">
      <w:pPr>
        <w:shd w:val="clear" w:color="auto" w:fill="FFFFFF"/>
        <w:jc w:val="both"/>
        <w:rPr>
          <w:rFonts w:ascii="Arial" w:hAnsi="Arial" w:cs="Arial"/>
          <w:sz w:val="22"/>
        </w:rPr>
      </w:pPr>
    </w:p>
    <w:p w:rsidR="007A4C06" w:rsidRPr="006D483E" w:rsidRDefault="007A4C06" w:rsidP="007A4C06">
      <w:pPr>
        <w:jc w:val="both"/>
        <w:rPr>
          <w:rFonts w:ascii="Arial" w:hAnsi="Arial" w:cs="Arial"/>
          <w:color w:val="000000" w:themeColor="text1"/>
          <w:sz w:val="22"/>
        </w:rPr>
      </w:pPr>
      <w:r w:rsidRPr="006D483E">
        <w:rPr>
          <w:rFonts w:ascii="Arial" w:hAnsi="Arial" w:cs="Arial"/>
          <w:b/>
          <w:bCs/>
          <w:color w:val="000000" w:themeColor="text1"/>
          <w:sz w:val="22"/>
        </w:rPr>
        <w:t>Sul piano geografico</w:t>
      </w:r>
      <w:r>
        <w:rPr>
          <w:rFonts w:ascii="Arial" w:hAnsi="Arial" w:cs="Arial"/>
          <w:color w:val="000000" w:themeColor="text1"/>
          <w:sz w:val="22"/>
        </w:rPr>
        <w:t>, il Piano ordinario 2018</w:t>
      </w:r>
      <w:r w:rsidRPr="006D483E">
        <w:rPr>
          <w:rFonts w:ascii="Arial" w:hAnsi="Arial" w:cs="Arial"/>
          <w:b/>
          <w:bCs/>
          <w:color w:val="000000" w:themeColor="text1"/>
          <w:sz w:val="22"/>
        </w:rPr>
        <w:t xml:space="preserve"> si concentra sul mercato asiatico</w:t>
      </w:r>
      <w:r w:rsidRPr="006D483E">
        <w:rPr>
          <w:rFonts w:ascii="Arial" w:hAnsi="Arial" w:cs="Arial"/>
          <w:color w:val="000000" w:themeColor="text1"/>
          <w:sz w:val="22"/>
        </w:rPr>
        <w:t xml:space="preserve">, prevalentemente Giappone e Cina, al quale è destinato </w:t>
      </w:r>
      <w:r w:rsidRPr="007009C6">
        <w:rPr>
          <w:rFonts w:ascii="Arial" w:hAnsi="Arial" w:cs="Arial"/>
          <w:color w:val="000000" w:themeColor="text1"/>
          <w:sz w:val="22"/>
        </w:rPr>
        <w:t xml:space="preserve">circa </w:t>
      </w:r>
      <w:r w:rsidRPr="007009C6">
        <w:rPr>
          <w:rFonts w:ascii="Arial" w:hAnsi="Arial" w:cs="Arial"/>
          <w:b/>
          <w:bCs/>
          <w:color w:val="000000" w:themeColor="text1"/>
          <w:sz w:val="22"/>
        </w:rPr>
        <w:t xml:space="preserve">un terzo </w:t>
      </w:r>
      <w:r w:rsidRPr="006D483E">
        <w:rPr>
          <w:rFonts w:ascii="Arial" w:hAnsi="Arial" w:cs="Arial"/>
          <w:b/>
          <w:bCs/>
          <w:color w:val="000000" w:themeColor="text1"/>
          <w:sz w:val="22"/>
        </w:rPr>
        <w:t>delle risorse</w:t>
      </w:r>
      <w:r>
        <w:rPr>
          <w:rFonts w:ascii="Arial" w:hAnsi="Arial" w:cs="Arial"/>
          <w:b/>
          <w:bCs/>
          <w:color w:val="000000" w:themeColor="text1"/>
          <w:sz w:val="22"/>
        </w:rPr>
        <w:t xml:space="preserve"> complessive</w:t>
      </w:r>
      <w:r w:rsidRPr="006C55AD">
        <w:rPr>
          <w:rFonts w:ascii="Arial" w:hAnsi="Arial" w:cs="Arial"/>
          <w:color w:val="000000" w:themeColor="text1"/>
          <w:sz w:val="22"/>
        </w:rPr>
        <w:t>,</w:t>
      </w:r>
      <w:r w:rsidRPr="006D483E">
        <w:rPr>
          <w:rFonts w:ascii="Arial" w:hAnsi="Arial" w:cs="Arial"/>
          <w:color w:val="000000" w:themeColor="text1"/>
          <w:sz w:val="22"/>
        </w:rPr>
        <w:t xml:space="preserve"> </w:t>
      </w:r>
      <w:r>
        <w:rPr>
          <w:rFonts w:ascii="Arial" w:hAnsi="Arial" w:cs="Arial"/>
          <w:color w:val="000000" w:themeColor="text1"/>
          <w:sz w:val="22"/>
        </w:rPr>
        <w:t>mirate</w:t>
      </w:r>
      <w:r w:rsidRPr="006D483E">
        <w:rPr>
          <w:rFonts w:ascii="Arial" w:hAnsi="Arial" w:cs="Arial"/>
          <w:color w:val="000000" w:themeColor="text1"/>
          <w:sz w:val="22"/>
        </w:rPr>
        <w:t xml:space="preserve"> principalmente al consolidamento della nostra presenza nelle principali manifestazioni fieristiche settoriali.</w:t>
      </w:r>
    </w:p>
    <w:p w:rsidR="007A4C06" w:rsidRDefault="007A4C06" w:rsidP="007A4C06">
      <w:pPr>
        <w:jc w:val="both"/>
        <w:rPr>
          <w:rFonts w:ascii="Arial" w:hAnsi="Arial" w:cs="Arial"/>
          <w:sz w:val="22"/>
        </w:rPr>
      </w:pPr>
    </w:p>
    <w:p w:rsidR="007A4C06" w:rsidRDefault="007A4C06" w:rsidP="007A4C06">
      <w:pPr>
        <w:jc w:val="both"/>
        <w:rPr>
          <w:rFonts w:ascii="Arial" w:hAnsi="Arial" w:cs="Arial"/>
          <w:i/>
        </w:rPr>
      </w:pPr>
      <w:r w:rsidRPr="002178AE">
        <w:rPr>
          <w:rFonts w:ascii="Arial" w:hAnsi="Arial" w:cs="Arial"/>
          <w:i/>
        </w:rPr>
        <w:t>Ripartizione stanziamento pubblico per aree geografiche</w:t>
      </w:r>
    </w:p>
    <w:p w:rsidR="007A4C06" w:rsidRPr="002178AE" w:rsidRDefault="007A4C06" w:rsidP="007A4C06">
      <w:pPr>
        <w:jc w:val="both"/>
        <w:rPr>
          <w:rFonts w:ascii="Arial" w:hAnsi="Arial" w:cs="Arial"/>
          <w:i/>
        </w:rPr>
      </w:pPr>
    </w:p>
    <w:p w:rsidR="007A4C06" w:rsidRDefault="007A4C06" w:rsidP="007A4C06">
      <w:pPr>
        <w:jc w:val="both"/>
        <w:rPr>
          <w:rFonts w:ascii="Arial" w:hAnsi="Arial" w:cs="Arial"/>
          <w:sz w:val="22"/>
        </w:rPr>
      </w:pPr>
      <w:r>
        <w:rPr>
          <w:rFonts w:ascii="Arial" w:hAnsi="Arial" w:cs="Arial"/>
          <w:noProof/>
          <w:sz w:val="22"/>
        </w:rPr>
        <w:drawing>
          <wp:inline distT="0" distB="0" distL="0" distR="0" wp14:anchorId="3CBBDC82" wp14:editId="0E073A2D">
            <wp:extent cx="5478550" cy="2523182"/>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09503" cy="2537438"/>
                    </a:xfrm>
                    <a:prstGeom prst="rect">
                      <a:avLst/>
                    </a:prstGeom>
                    <a:noFill/>
                  </pic:spPr>
                </pic:pic>
              </a:graphicData>
            </a:graphic>
          </wp:inline>
        </w:drawing>
      </w: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7A4C06" w:rsidRDefault="007A4C06" w:rsidP="007A4C06">
      <w:pPr>
        <w:jc w:val="both"/>
        <w:rPr>
          <w:rFonts w:ascii="Arial" w:hAnsi="Arial" w:cs="Arial"/>
          <w:sz w:val="22"/>
        </w:rPr>
      </w:pPr>
    </w:p>
    <w:p w:rsidR="007A4C06" w:rsidRDefault="007A4C06" w:rsidP="007A4C06">
      <w:pPr>
        <w:jc w:val="both"/>
        <w:rPr>
          <w:rFonts w:ascii="Arial" w:hAnsi="Arial" w:cs="Arial"/>
          <w:color w:val="000000" w:themeColor="text1"/>
          <w:sz w:val="22"/>
        </w:rPr>
      </w:pPr>
      <w:r w:rsidRPr="006D483E">
        <w:rPr>
          <w:rFonts w:ascii="Arial" w:hAnsi="Arial" w:cs="Arial"/>
          <w:color w:val="000000" w:themeColor="text1"/>
          <w:sz w:val="22"/>
        </w:rPr>
        <w:lastRenderedPageBreak/>
        <w:t>Riguardo agli altri mercati, che si attestano su livelli di budget più contenuti, si evidenziano le attività destinate all’</w:t>
      </w:r>
      <w:r w:rsidRPr="006D483E">
        <w:rPr>
          <w:rFonts w:ascii="Arial" w:hAnsi="Arial" w:cs="Arial"/>
          <w:b/>
          <w:color w:val="000000" w:themeColor="text1"/>
          <w:sz w:val="22"/>
        </w:rPr>
        <w:t>Europa</w:t>
      </w:r>
      <w:r w:rsidRPr="006D483E">
        <w:rPr>
          <w:rFonts w:ascii="Arial" w:hAnsi="Arial" w:cs="Arial"/>
          <w:color w:val="000000" w:themeColor="text1"/>
          <w:sz w:val="22"/>
        </w:rPr>
        <w:t xml:space="preserve">, prevalentemente rivolte a </w:t>
      </w:r>
      <w:r w:rsidRPr="006D483E">
        <w:rPr>
          <w:rFonts w:ascii="Arial" w:hAnsi="Arial" w:cs="Arial"/>
          <w:i/>
          <w:iCs/>
          <w:color w:val="000000" w:themeColor="text1"/>
          <w:sz w:val="22"/>
        </w:rPr>
        <w:t>Germania e Francia</w:t>
      </w:r>
      <w:r w:rsidRPr="006D483E">
        <w:rPr>
          <w:rFonts w:ascii="Arial" w:hAnsi="Arial" w:cs="Arial"/>
          <w:color w:val="000000" w:themeColor="text1"/>
          <w:sz w:val="22"/>
        </w:rPr>
        <w:t xml:space="preserve">, con il mantenimento delle iniziative settoriali, quali le partecipazioni a fiere di grande rilievo internazionale, tradizionalmente richieste dalle imprese. A seguire gli interventi in </w:t>
      </w:r>
      <w:r w:rsidRPr="006D483E">
        <w:rPr>
          <w:rFonts w:ascii="Arial" w:hAnsi="Arial" w:cs="Arial"/>
          <w:b/>
          <w:color w:val="000000" w:themeColor="text1"/>
          <w:sz w:val="22"/>
        </w:rPr>
        <w:t>Italia</w:t>
      </w:r>
      <w:r w:rsidRPr="006D483E">
        <w:rPr>
          <w:rFonts w:ascii="Arial" w:hAnsi="Arial" w:cs="Arial"/>
          <w:color w:val="000000" w:themeColor="text1"/>
          <w:sz w:val="22"/>
        </w:rPr>
        <w:t xml:space="preserve"> (attività di formazione, gli incoming di operatori esteri da più paesi, azioni di comuni</w:t>
      </w:r>
      <w:r>
        <w:rPr>
          <w:rFonts w:ascii="Arial" w:hAnsi="Arial" w:cs="Arial"/>
          <w:color w:val="000000" w:themeColor="text1"/>
          <w:sz w:val="22"/>
        </w:rPr>
        <w:t>cazione alle imprese italiane, az</w:t>
      </w:r>
      <w:r w:rsidRPr="006D483E">
        <w:rPr>
          <w:rFonts w:ascii="Arial" w:hAnsi="Arial" w:cs="Arial"/>
          <w:color w:val="000000" w:themeColor="text1"/>
          <w:sz w:val="22"/>
        </w:rPr>
        <w:t>ioni</w:t>
      </w:r>
      <w:r>
        <w:rPr>
          <w:rFonts w:ascii="Arial" w:hAnsi="Arial" w:cs="Arial"/>
          <w:color w:val="000000" w:themeColor="text1"/>
          <w:sz w:val="22"/>
        </w:rPr>
        <w:t xml:space="preserve"> di cross promotion</w:t>
      </w:r>
      <w:r w:rsidRPr="006D483E">
        <w:rPr>
          <w:rFonts w:ascii="Arial" w:hAnsi="Arial" w:cs="Arial"/>
          <w:color w:val="000000" w:themeColor="text1"/>
          <w:sz w:val="22"/>
        </w:rPr>
        <w:t>) e Stati Uniti</w:t>
      </w:r>
      <w:r>
        <w:rPr>
          <w:rFonts w:ascii="Arial" w:hAnsi="Arial" w:cs="Arial"/>
          <w:color w:val="000000" w:themeColor="text1"/>
          <w:sz w:val="22"/>
        </w:rPr>
        <w:t>/Canada</w:t>
      </w:r>
      <w:r w:rsidRPr="006D483E">
        <w:rPr>
          <w:rFonts w:ascii="Arial" w:hAnsi="Arial" w:cs="Arial"/>
          <w:color w:val="000000" w:themeColor="text1"/>
          <w:sz w:val="22"/>
        </w:rPr>
        <w:t>, poi in Africa, Centro e Sud America e Oceania</w:t>
      </w:r>
      <w:r>
        <w:rPr>
          <w:rFonts w:ascii="Arial" w:hAnsi="Arial" w:cs="Arial"/>
          <w:color w:val="000000" w:themeColor="text1"/>
          <w:sz w:val="22"/>
        </w:rPr>
        <w:t>.</w:t>
      </w:r>
    </w:p>
    <w:p w:rsidR="00CB6DEA" w:rsidRDefault="00CB6DEA" w:rsidP="007A4C06">
      <w:pPr>
        <w:jc w:val="both"/>
        <w:rPr>
          <w:rFonts w:ascii="Arial" w:hAnsi="Arial" w:cs="Arial"/>
          <w:color w:val="000000" w:themeColor="text1"/>
          <w:sz w:val="22"/>
        </w:rPr>
      </w:pPr>
    </w:p>
    <w:p w:rsidR="00CB6DEA" w:rsidRPr="006D483E" w:rsidRDefault="00CB6DEA" w:rsidP="007A4C06">
      <w:pPr>
        <w:jc w:val="both"/>
        <w:rPr>
          <w:rFonts w:ascii="Arial" w:hAnsi="Arial" w:cs="Arial"/>
          <w:color w:val="000000" w:themeColor="text1"/>
          <w:sz w:val="22"/>
        </w:rPr>
      </w:pPr>
    </w:p>
    <w:p w:rsidR="007A4C06" w:rsidRDefault="007A4C06" w:rsidP="007A4C06">
      <w:pPr>
        <w:jc w:val="both"/>
        <w:rPr>
          <w:rFonts w:ascii="Arial" w:hAnsi="Arial" w:cs="Arial"/>
          <w:sz w:val="22"/>
        </w:rPr>
      </w:pPr>
    </w:p>
    <w:p w:rsidR="007A4C06" w:rsidRDefault="007A4C06" w:rsidP="007A4C06">
      <w:pPr>
        <w:jc w:val="both"/>
        <w:rPr>
          <w:rFonts w:ascii="Arial" w:hAnsi="Arial" w:cs="Arial"/>
          <w:sz w:val="22"/>
        </w:rPr>
      </w:pPr>
    </w:p>
    <w:p w:rsidR="007A4C06" w:rsidRDefault="007A4C06" w:rsidP="007A4C06">
      <w:pPr>
        <w:jc w:val="both"/>
        <w:rPr>
          <w:rFonts w:ascii="Arial" w:hAnsi="Arial" w:cs="Arial"/>
          <w:i/>
        </w:rPr>
      </w:pPr>
      <w:r w:rsidRPr="00D55EED">
        <w:rPr>
          <w:rFonts w:ascii="Arial" w:hAnsi="Arial" w:cs="Arial"/>
          <w:i/>
        </w:rPr>
        <w:t>I primi 10 paesi di intervento per stanziamento pubblico</w:t>
      </w:r>
    </w:p>
    <w:p w:rsidR="007A4C06" w:rsidRDefault="007A4C06" w:rsidP="007A4C06">
      <w:pPr>
        <w:jc w:val="both"/>
        <w:rPr>
          <w:rFonts w:ascii="Arial" w:hAnsi="Arial" w:cs="Arial"/>
          <w:i/>
        </w:rPr>
      </w:pPr>
    </w:p>
    <w:p w:rsidR="007A4C06" w:rsidRDefault="007A4C06" w:rsidP="007A4C06">
      <w:pPr>
        <w:jc w:val="both"/>
        <w:rPr>
          <w:rFonts w:ascii="Arial" w:hAnsi="Arial" w:cs="Arial"/>
          <w:i/>
        </w:rPr>
      </w:pPr>
      <w:r>
        <w:rPr>
          <w:rFonts w:ascii="Arial" w:hAnsi="Arial" w:cs="Arial"/>
          <w:i/>
          <w:noProof/>
        </w:rPr>
        <w:drawing>
          <wp:inline distT="0" distB="0" distL="0" distR="0" wp14:anchorId="464F86BF" wp14:editId="73F12247">
            <wp:extent cx="6758940" cy="3912457"/>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3675" cy="3915198"/>
                    </a:xfrm>
                    <a:prstGeom prst="rect">
                      <a:avLst/>
                    </a:prstGeom>
                    <a:noFill/>
                  </pic:spPr>
                </pic:pic>
              </a:graphicData>
            </a:graphic>
          </wp:inline>
        </w:drawing>
      </w:r>
    </w:p>
    <w:p w:rsidR="007A4C06" w:rsidRPr="00D55EED" w:rsidRDefault="007A4C06" w:rsidP="007A4C06">
      <w:pPr>
        <w:jc w:val="both"/>
        <w:rPr>
          <w:rFonts w:ascii="Arial" w:hAnsi="Arial" w:cs="Arial"/>
          <w:i/>
        </w:rPr>
      </w:pPr>
    </w:p>
    <w:p w:rsidR="007A4C06" w:rsidRDefault="007A4C06" w:rsidP="007A4C06">
      <w:pPr>
        <w:jc w:val="both"/>
        <w:rPr>
          <w:rFonts w:ascii="Arial" w:hAnsi="Arial" w:cs="Arial"/>
          <w:sz w:val="22"/>
        </w:rPr>
      </w:pPr>
    </w:p>
    <w:p w:rsidR="007A4C06" w:rsidRDefault="007A4C06" w:rsidP="007A4C06">
      <w:pPr>
        <w:jc w:val="both"/>
        <w:rPr>
          <w:rFonts w:ascii="Arial" w:hAnsi="Arial" w:cs="Arial"/>
          <w:sz w:val="22"/>
        </w:rPr>
      </w:pPr>
    </w:p>
    <w:p w:rsidR="007A4C06" w:rsidRPr="00D55EED" w:rsidRDefault="007A4C06" w:rsidP="007A4C06">
      <w:pPr>
        <w:jc w:val="both"/>
        <w:rPr>
          <w:rFonts w:ascii="Arial" w:hAnsi="Arial" w:cs="Arial"/>
          <w:sz w:val="16"/>
        </w:rPr>
      </w:pPr>
      <w:r w:rsidRPr="00D55EED">
        <w:rPr>
          <w:rFonts w:ascii="Arial" w:hAnsi="Arial" w:cs="Arial"/>
          <w:sz w:val="16"/>
        </w:rPr>
        <w:t xml:space="preserve">                                                 Nota: percentuali calcolate sul totale (€ </w:t>
      </w:r>
      <w:r>
        <w:rPr>
          <w:rFonts w:ascii="Arial" w:hAnsi="Arial" w:cs="Arial"/>
          <w:sz w:val="16"/>
        </w:rPr>
        <w:t>20</w:t>
      </w:r>
      <w:r w:rsidRPr="00D55EED">
        <w:rPr>
          <w:rFonts w:ascii="Arial" w:hAnsi="Arial" w:cs="Arial"/>
          <w:sz w:val="16"/>
        </w:rPr>
        <w:t>.</w:t>
      </w:r>
      <w:r>
        <w:rPr>
          <w:rFonts w:ascii="Arial" w:hAnsi="Arial" w:cs="Arial"/>
          <w:sz w:val="16"/>
        </w:rPr>
        <w:t>0</w:t>
      </w:r>
      <w:r w:rsidRPr="00D55EED">
        <w:rPr>
          <w:rFonts w:ascii="Arial" w:hAnsi="Arial" w:cs="Arial"/>
          <w:sz w:val="16"/>
        </w:rPr>
        <w:t>00.000)</w:t>
      </w:r>
    </w:p>
    <w:p w:rsidR="007A4C06" w:rsidRDefault="007A4C06" w:rsidP="007A4C06">
      <w:pPr>
        <w:jc w:val="both"/>
        <w:rPr>
          <w:rFonts w:ascii="Arial" w:hAnsi="Arial" w:cs="Arial"/>
          <w:sz w:val="22"/>
        </w:rPr>
      </w:pPr>
    </w:p>
    <w:p w:rsidR="007A4C06" w:rsidRDefault="007A4C06"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7A4C06" w:rsidRDefault="007A4C06" w:rsidP="007A4C06">
      <w:pPr>
        <w:jc w:val="both"/>
        <w:rPr>
          <w:rFonts w:ascii="Arial" w:hAnsi="Arial" w:cs="Arial"/>
          <w:color w:val="0000FF"/>
          <w:sz w:val="22"/>
        </w:rPr>
      </w:pPr>
    </w:p>
    <w:p w:rsidR="007A4C06" w:rsidRPr="006D483E" w:rsidRDefault="007A4C06" w:rsidP="007A4C06">
      <w:pPr>
        <w:jc w:val="both"/>
        <w:rPr>
          <w:rFonts w:ascii="Arial" w:hAnsi="Arial" w:cs="Arial"/>
          <w:color w:val="000000" w:themeColor="text1"/>
          <w:sz w:val="22"/>
        </w:rPr>
      </w:pPr>
      <w:r w:rsidRPr="006D483E">
        <w:rPr>
          <w:rFonts w:ascii="Arial" w:hAnsi="Arial" w:cs="Arial"/>
          <w:color w:val="000000" w:themeColor="text1"/>
          <w:sz w:val="22"/>
        </w:rPr>
        <w:t>Per quanto riguarda la</w:t>
      </w:r>
      <w:r w:rsidRPr="006D483E">
        <w:rPr>
          <w:rFonts w:ascii="Arial" w:hAnsi="Arial" w:cs="Arial"/>
          <w:b/>
          <w:bCs/>
          <w:color w:val="000000" w:themeColor="text1"/>
          <w:sz w:val="22"/>
        </w:rPr>
        <w:t xml:space="preserve"> copertura settoriale degli interventi</w:t>
      </w:r>
      <w:r w:rsidRPr="006D483E">
        <w:rPr>
          <w:rFonts w:ascii="Arial" w:hAnsi="Arial" w:cs="Arial"/>
          <w:color w:val="000000" w:themeColor="text1"/>
          <w:sz w:val="22"/>
        </w:rPr>
        <w:t xml:space="preserve">, si evidenzia la </w:t>
      </w:r>
      <w:r w:rsidRPr="006D483E">
        <w:rPr>
          <w:rFonts w:ascii="Arial" w:hAnsi="Arial" w:cs="Arial"/>
          <w:b/>
          <w:bCs/>
          <w:color w:val="000000" w:themeColor="text1"/>
          <w:sz w:val="22"/>
        </w:rPr>
        <w:t>prevalenza</w:t>
      </w:r>
      <w:r w:rsidRPr="006D483E">
        <w:rPr>
          <w:rFonts w:ascii="Arial" w:hAnsi="Arial" w:cs="Arial"/>
          <w:color w:val="000000" w:themeColor="text1"/>
          <w:sz w:val="22"/>
        </w:rPr>
        <w:t xml:space="preserve">, in termini di macro raggruppamenti, del comparto </w:t>
      </w:r>
      <w:r w:rsidRPr="006D483E">
        <w:rPr>
          <w:rFonts w:ascii="Arial" w:hAnsi="Arial" w:cs="Arial"/>
          <w:b/>
          <w:color w:val="000000" w:themeColor="text1"/>
          <w:sz w:val="22"/>
        </w:rPr>
        <w:t>Tecnologia Industriale, Energia e Ambiente</w:t>
      </w:r>
      <w:r w:rsidRPr="006D483E">
        <w:rPr>
          <w:rFonts w:ascii="Arial" w:hAnsi="Arial" w:cs="Arial"/>
          <w:color w:val="000000" w:themeColor="text1"/>
          <w:sz w:val="22"/>
        </w:rPr>
        <w:t>, comprensivo di meccanica, mezzi di trasporto, aerospazio, elettronica, chimica, infrastrutture, tecnologia avanza</w:t>
      </w:r>
      <w:r>
        <w:rPr>
          <w:rFonts w:ascii="Arial" w:hAnsi="Arial" w:cs="Arial"/>
          <w:color w:val="000000" w:themeColor="text1"/>
          <w:sz w:val="22"/>
        </w:rPr>
        <w:t>ta</w:t>
      </w:r>
      <w:r w:rsidRPr="006D483E">
        <w:rPr>
          <w:rFonts w:ascii="Arial" w:hAnsi="Arial" w:cs="Arial"/>
          <w:color w:val="000000" w:themeColor="text1"/>
          <w:sz w:val="22"/>
        </w:rPr>
        <w:t xml:space="preserve">, bio e nano tecnologie, terziario avanzato, start up, con il </w:t>
      </w:r>
      <w:r w:rsidRPr="006D483E">
        <w:rPr>
          <w:rFonts w:ascii="Arial" w:hAnsi="Arial" w:cs="Arial"/>
          <w:b/>
          <w:color w:val="000000" w:themeColor="text1"/>
          <w:sz w:val="22"/>
        </w:rPr>
        <w:t>34% delle risorse</w:t>
      </w:r>
      <w:r w:rsidRPr="006D483E">
        <w:rPr>
          <w:rFonts w:ascii="Arial" w:hAnsi="Arial" w:cs="Arial"/>
          <w:color w:val="000000" w:themeColor="text1"/>
          <w:sz w:val="22"/>
        </w:rPr>
        <w:t>.</w:t>
      </w:r>
    </w:p>
    <w:p w:rsidR="007A4C06" w:rsidRPr="006D483E" w:rsidRDefault="007A4C06" w:rsidP="007A4C06">
      <w:pPr>
        <w:jc w:val="both"/>
        <w:rPr>
          <w:rFonts w:ascii="Arial" w:hAnsi="Arial" w:cs="Arial"/>
          <w:color w:val="000000" w:themeColor="text1"/>
          <w:sz w:val="22"/>
        </w:rPr>
      </w:pPr>
    </w:p>
    <w:p w:rsidR="007A4C06" w:rsidRPr="006D483E" w:rsidRDefault="007A4C06" w:rsidP="007A4C06">
      <w:pPr>
        <w:jc w:val="both"/>
        <w:rPr>
          <w:rFonts w:ascii="Arial" w:hAnsi="Arial" w:cs="Arial"/>
          <w:color w:val="000000" w:themeColor="text1"/>
          <w:sz w:val="22"/>
        </w:rPr>
      </w:pPr>
      <w:r w:rsidRPr="006D483E">
        <w:rPr>
          <w:rFonts w:ascii="Arial" w:hAnsi="Arial" w:cs="Arial"/>
          <w:color w:val="000000" w:themeColor="text1"/>
          <w:sz w:val="22"/>
        </w:rPr>
        <w:t xml:space="preserve">A seguire il </w:t>
      </w:r>
      <w:r w:rsidRPr="006D483E">
        <w:rPr>
          <w:rFonts w:ascii="Arial" w:hAnsi="Arial" w:cs="Arial"/>
          <w:b/>
          <w:color w:val="000000" w:themeColor="text1"/>
          <w:sz w:val="22"/>
        </w:rPr>
        <w:t>Sistema Moda</w:t>
      </w:r>
      <w:r w:rsidRPr="006D483E">
        <w:rPr>
          <w:rFonts w:ascii="Arial" w:hAnsi="Arial" w:cs="Arial"/>
          <w:color w:val="000000" w:themeColor="text1"/>
          <w:sz w:val="22"/>
        </w:rPr>
        <w:t xml:space="preserve">, comprensivo dei settori </w:t>
      </w:r>
      <w:r w:rsidRPr="006D483E">
        <w:rPr>
          <w:rFonts w:ascii="Arial" w:hAnsi="Arial" w:cs="Arial"/>
          <w:i/>
          <w:color w:val="000000" w:themeColor="text1"/>
          <w:sz w:val="22"/>
        </w:rPr>
        <w:t>te</w:t>
      </w:r>
      <w:r w:rsidRPr="006D483E">
        <w:rPr>
          <w:rFonts w:ascii="Arial" w:hAnsi="Arial" w:cs="Arial"/>
          <w:i/>
          <w:iCs/>
          <w:color w:val="000000" w:themeColor="text1"/>
          <w:sz w:val="22"/>
        </w:rPr>
        <w:t>ssile e abbigliamento, calzature e pelletteria, gioielleria e accessori moda</w:t>
      </w:r>
      <w:r w:rsidRPr="006D483E">
        <w:rPr>
          <w:rFonts w:ascii="Arial" w:hAnsi="Arial" w:cs="Arial"/>
          <w:color w:val="000000" w:themeColor="text1"/>
          <w:sz w:val="22"/>
        </w:rPr>
        <w:t xml:space="preserve"> nonché </w:t>
      </w:r>
      <w:r w:rsidRPr="00DE3CA0">
        <w:rPr>
          <w:rFonts w:ascii="Arial" w:hAnsi="Arial" w:cs="Arial"/>
          <w:color w:val="000000" w:themeColor="text1"/>
          <w:sz w:val="22"/>
        </w:rPr>
        <w:t>dell</w:t>
      </w:r>
      <w:r>
        <w:rPr>
          <w:rFonts w:ascii="Arial" w:hAnsi="Arial" w:cs="Arial"/>
          <w:color w:val="000000" w:themeColor="text1"/>
          <w:sz w:val="22"/>
        </w:rPr>
        <w:t>’industria c</w:t>
      </w:r>
      <w:r w:rsidRPr="00DE3CA0">
        <w:rPr>
          <w:rFonts w:ascii="Arial" w:hAnsi="Arial" w:cs="Arial"/>
          <w:color w:val="000000" w:themeColor="text1"/>
          <w:sz w:val="22"/>
        </w:rPr>
        <w:t>reativa</w:t>
      </w:r>
      <w:r w:rsidRPr="006D483E">
        <w:rPr>
          <w:rFonts w:ascii="Arial" w:hAnsi="Arial" w:cs="Arial"/>
          <w:color w:val="000000" w:themeColor="text1"/>
          <w:sz w:val="22"/>
        </w:rPr>
        <w:t xml:space="preserve">, che risulta destinatario del </w:t>
      </w:r>
      <w:r w:rsidRPr="006D483E">
        <w:rPr>
          <w:rFonts w:ascii="Arial" w:hAnsi="Arial" w:cs="Arial"/>
          <w:b/>
          <w:color w:val="000000" w:themeColor="text1"/>
          <w:sz w:val="22"/>
        </w:rPr>
        <w:t>24,8</w:t>
      </w:r>
      <w:r w:rsidRPr="006D483E">
        <w:rPr>
          <w:rFonts w:ascii="Arial" w:hAnsi="Arial" w:cs="Arial"/>
          <w:b/>
          <w:bCs/>
          <w:color w:val="000000" w:themeColor="text1"/>
          <w:sz w:val="22"/>
        </w:rPr>
        <w:t xml:space="preserve">% del budget </w:t>
      </w:r>
      <w:r w:rsidRPr="006D483E">
        <w:rPr>
          <w:rFonts w:ascii="Arial" w:hAnsi="Arial" w:cs="Arial"/>
          <w:color w:val="000000" w:themeColor="text1"/>
          <w:sz w:val="22"/>
        </w:rPr>
        <w:t xml:space="preserve">del Piano, cui si affianca il </w:t>
      </w:r>
      <w:r w:rsidRPr="006D483E">
        <w:rPr>
          <w:rFonts w:ascii="Arial" w:hAnsi="Arial" w:cs="Arial"/>
          <w:b/>
          <w:color w:val="000000" w:themeColor="text1"/>
          <w:sz w:val="22"/>
        </w:rPr>
        <w:t>Sistema Abitare</w:t>
      </w:r>
      <w:r w:rsidRPr="006D483E">
        <w:rPr>
          <w:rFonts w:ascii="Arial" w:hAnsi="Arial" w:cs="Arial"/>
          <w:color w:val="000000" w:themeColor="text1"/>
          <w:sz w:val="22"/>
        </w:rPr>
        <w:t xml:space="preserve"> con il </w:t>
      </w:r>
      <w:r w:rsidRPr="006D483E">
        <w:rPr>
          <w:rFonts w:ascii="Arial" w:hAnsi="Arial" w:cs="Arial"/>
          <w:b/>
          <w:color w:val="000000" w:themeColor="text1"/>
          <w:sz w:val="22"/>
        </w:rPr>
        <w:t>3,7%</w:t>
      </w:r>
      <w:r w:rsidRPr="006D483E">
        <w:rPr>
          <w:rFonts w:ascii="Arial" w:hAnsi="Arial" w:cs="Arial"/>
          <w:color w:val="000000" w:themeColor="text1"/>
          <w:sz w:val="22"/>
        </w:rPr>
        <w:t>.</w:t>
      </w:r>
    </w:p>
    <w:p w:rsidR="007A4C06" w:rsidRDefault="007A4C06" w:rsidP="007A4C06">
      <w:pPr>
        <w:jc w:val="both"/>
        <w:rPr>
          <w:rFonts w:ascii="Arial" w:hAnsi="Arial" w:cs="Arial"/>
          <w:b/>
          <w:bCs/>
          <w:color w:val="0000FF"/>
          <w:sz w:val="22"/>
        </w:rPr>
      </w:pPr>
    </w:p>
    <w:p w:rsidR="007A4C06" w:rsidRPr="006D483E" w:rsidRDefault="007A4C06" w:rsidP="007A4C06">
      <w:pPr>
        <w:jc w:val="both"/>
        <w:rPr>
          <w:rFonts w:ascii="Arial" w:hAnsi="Arial" w:cs="Arial"/>
          <w:color w:val="000000" w:themeColor="text1"/>
          <w:sz w:val="22"/>
        </w:rPr>
      </w:pPr>
      <w:r w:rsidRPr="006D483E">
        <w:rPr>
          <w:rFonts w:ascii="Arial" w:hAnsi="Arial" w:cs="Arial"/>
          <w:color w:val="000000" w:themeColor="text1"/>
          <w:sz w:val="22"/>
        </w:rPr>
        <w:t xml:space="preserve">Al comparto </w:t>
      </w:r>
      <w:r w:rsidRPr="006D483E">
        <w:rPr>
          <w:rFonts w:ascii="Arial" w:hAnsi="Arial" w:cs="Arial"/>
          <w:b/>
          <w:bCs/>
          <w:color w:val="000000" w:themeColor="text1"/>
          <w:sz w:val="22"/>
        </w:rPr>
        <w:t>Agroalimentare</w:t>
      </w:r>
      <w:r w:rsidRPr="006D483E">
        <w:rPr>
          <w:rFonts w:ascii="Arial" w:hAnsi="Arial" w:cs="Arial"/>
          <w:bCs/>
          <w:color w:val="000000" w:themeColor="text1"/>
          <w:sz w:val="22"/>
        </w:rPr>
        <w:t>, infine, viene destinato</w:t>
      </w:r>
      <w:r w:rsidRPr="006D483E">
        <w:rPr>
          <w:rFonts w:ascii="Arial" w:hAnsi="Arial" w:cs="Arial"/>
          <w:b/>
          <w:bCs/>
          <w:color w:val="000000" w:themeColor="text1"/>
          <w:sz w:val="22"/>
        </w:rPr>
        <w:t xml:space="preserve"> il</w:t>
      </w:r>
      <w:r w:rsidRPr="006D483E">
        <w:rPr>
          <w:rFonts w:ascii="Arial" w:hAnsi="Arial" w:cs="Arial"/>
          <w:color w:val="000000" w:themeColor="text1"/>
          <w:sz w:val="22"/>
        </w:rPr>
        <w:t xml:space="preserve"> </w:t>
      </w:r>
      <w:r w:rsidRPr="006D483E">
        <w:rPr>
          <w:rFonts w:ascii="Arial" w:hAnsi="Arial" w:cs="Arial"/>
          <w:b/>
          <w:color w:val="000000" w:themeColor="text1"/>
          <w:sz w:val="22"/>
        </w:rPr>
        <w:t>20</w:t>
      </w:r>
      <w:r w:rsidRPr="006D483E">
        <w:rPr>
          <w:rFonts w:ascii="Arial" w:hAnsi="Arial" w:cs="Arial"/>
          <w:b/>
          <w:bCs/>
          <w:color w:val="000000" w:themeColor="text1"/>
          <w:sz w:val="22"/>
        </w:rPr>
        <w:t>% delle risorse,</w:t>
      </w:r>
      <w:r w:rsidRPr="006D483E">
        <w:rPr>
          <w:rFonts w:ascii="Arial" w:hAnsi="Arial" w:cs="Arial"/>
          <w:color w:val="000000" w:themeColor="text1"/>
          <w:sz w:val="22"/>
        </w:rPr>
        <w:t xml:space="preserve"> prioritariamente focalizzate nei paesi europei e asiatici, per la partecipazione ai più importanti eventi promozionali del mercato. </w:t>
      </w:r>
    </w:p>
    <w:p w:rsidR="00CB6DEA" w:rsidRDefault="00CB6DEA" w:rsidP="007A4C06">
      <w:pPr>
        <w:jc w:val="both"/>
        <w:rPr>
          <w:rFonts w:ascii="Arial" w:hAnsi="Arial" w:cs="Arial"/>
          <w:sz w:val="22"/>
        </w:rPr>
      </w:pPr>
    </w:p>
    <w:p w:rsidR="00CB6DEA" w:rsidRDefault="00CB6DEA" w:rsidP="007A4C06">
      <w:pPr>
        <w:jc w:val="both"/>
        <w:rPr>
          <w:rFonts w:ascii="Arial" w:hAnsi="Arial" w:cs="Arial"/>
          <w:sz w:val="22"/>
        </w:rPr>
      </w:pPr>
    </w:p>
    <w:p w:rsidR="007A4C06" w:rsidRDefault="007A4C06" w:rsidP="007A4C06">
      <w:pPr>
        <w:jc w:val="both"/>
        <w:rPr>
          <w:rFonts w:ascii="Arial" w:hAnsi="Arial" w:cs="Arial"/>
          <w:i/>
        </w:rPr>
      </w:pPr>
    </w:p>
    <w:p w:rsidR="007A4C06" w:rsidRDefault="007A4C06" w:rsidP="007A4C06">
      <w:pPr>
        <w:jc w:val="both"/>
        <w:rPr>
          <w:rFonts w:ascii="Arial" w:hAnsi="Arial" w:cs="Arial"/>
          <w:i/>
        </w:rPr>
      </w:pPr>
      <w:r w:rsidRPr="00D55EED">
        <w:rPr>
          <w:rFonts w:ascii="Arial" w:hAnsi="Arial" w:cs="Arial"/>
          <w:i/>
        </w:rPr>
        <w:t>Ripartizione stanziamento pubblico per Sistemi merceologici</w:t>
      </w:r>
    </w:p>
    <w:p w:rsidR="007A4C06" w:rsidRDefault="007A4C06" w:rsidP="007A4C06">
      <w:pPr>
        <w:jc w:val="both"/>
        <w:rPr>
          <w:rFonts w:ascii="Arial" w:hAnsi="Arial" w:cs="Arial"/>
          <w:i/>
        </w:rPr>
      </w:pPr>
    </w:p>
    <w:p w:rsidR="007A4C06" w:rsidRDefault="007A4C06" w:rsidP="007A4C06">
      <w:pPr>
        <w:jc w:val="both"/>
        <w:rPr>
          <w:rFonts w:ascii="Arial" w:hAnsi="Arial" w:cs="Arial"/>
          <w:i/>
        </w:rPr>
      </w:pPr>
      <w:r>
        <w:rPr>
          <w:rFonts w:ascii="Arial" w:hAnsi="Arial" w:cs="Arial"/>
          <w:i/>
          <w:noProof/>
        </w:rPr>
        <w:drawing>
          <wp:inline distT="0" distB="0" distL="0" distR="0" wp14:anchorId="04BCF648" wp14:editId="6040DEA1">
            <wp:extent cx="6555223" cy="3561297"/>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2405" cy="3592363"/>
                    </a:xfrm>
                    <a:prstGeom prst="rect">
                      <a:avLst/>
                    </a:prstGeom>
                    <a:noFill/>
                  </pic:spPr>
                </pic:pic>
              </a:graphicData>
            </a:graphic>
          </wp:inline>
        </w:drawing>
      </w:r>
    </w:p>
    <w:p w:rsidR="007A4C06" w:rsidRPr="00D55EED" w:rsidRDefault="007A4C06" w:rsidP="007A4C06">
      <w:pPr>
        <w:jc w:val="both"/>
        <w:rPr>
          <w:rFonts w:ascii="Arial" w:hAnsi="Arial" w:cs="Arial"/>
          <w:i/>
        </w:rPr>
      </w:pPr>
    </w:p>
    <w:p w:rsidR="007A4C06" w:rsidRDefault="007A4C06" w:rsidP="007A4C06">
      <w:pPr>
        <w:jc w:val="both"/>
        <w:rPr>
          <w:rFonts w:ascii="Arial" w:hAnsi="Arial" w:cs="Arial"/>
          <w:sz w:val="22"/>
        </w:rPr>
      </w:pPr>
    </w:p>
    <w:p w:rsidR="007A4C06" w:rsidRDefault="007A4C06" w:rsidP="007A4C06">
      <w:pPr>
        <w:jc w:val="both"/>
        <w:rPr>
          <w:rFonts w:ascii="Arial" w:hAnsi="Arial" w:cs="Arial"/>
          <w:sz w:val="22"/>
        </w:rPr>
      </w:pPr>
    </w:p>
    <w:p w:rsidR="007A4C06" w:rsidRDefault="007A4C06" w:rsidP="007A4C06">
      <w:pPr>
        <w:jc w:val="both"/>
        <w:rPr>
          <w:rFonts w:ascii="Arial" w:hAnsi="Arial" w:cs="Arial"/>
          <w:color w:val="000000" w:themeColor="text1"/>
          <w:sz w:val="22"/>
        </w:rPr>
      </w:pPr>
      <w:r w:rsidRPr="006D483E">
        <w:rPr>
          <w:rFonts w:ascii="Arial" w:hAnsi="Arial" w:cs="Arial"/>
          <w:color w:val="000000" w:themeColor="text1"/>
          <w:sz w:val="22"/>
        </w:rPr>
        <w:t>A complemento della promozione settoriale si prevedono attività</w:t>
      </w:r>
      <w:r w:rsidRPr="006D483E">
        <w:rPr>
          <w:rFonts w:ascii="Arial" w:hAnsi="Arial" w:cs="Arial"/>
          <w:b/>
          <w:bCs/>
          <w:i/>
          <w:iCs/>
          <w:color w:val="000000" w:themeColor="text1"/>
          <w:sz w:val="22"/>
        </w:rPr>
        <w:t xml:space="preserve"> a carattere intersettoriale (6,1%), </w:t>
      </w:r>
      <w:r w:rsidRPr="006D483E">
        <w:rPr>
          <w:rFonts w:ascii="Arial" w:hAnsi="Arial" w:cs="Arial"/>
          <w:bCs/>
          <w:iCs/>
          <w:color w:val="000000" w:themeColor="text1"/>
          <w:sz w:val="22"/>
        </w:rPr>
        <w:t>principalmente</w:t>
      </w:r>
      <w:r w:rsidRPr="006D483E">
        <w:rPr>
          <w:rFonts w:ascii="Arial" w:hAnsi="Arial" w:cs="Arial"/>
          <w:color w:val="000000" w:themeColor="text1"/>
          <w:sz w:val="22"/>
        </w:rPr>
        <w:t xml:space="preserve"> </w:t>
      </w:r>
      <w:r w:rsidRPr="006D483E">
        <w:rPr>
          <w:rFonts w:ascii="Arial" w:hAnsi="Arial" w:cs="Arial"/>
          <w:i/>
          <w:color w:val="000000" w:themeColor="text1"/>
          <w:sz w:val="22"/>
        </w:rPr>
        <w:t>iniziative di valorizzazione del Made in Italy (Italian Festival) e</w:t>
      </w:r>
      <w:r w:rsidRPr="006D483E">
        <w:rPr>
          <w:rFonts w:ascii="Arial" w:hAnsi="Arial" w:cs="Arial"/>
          <w:color w:val="000000" w:themeColor="text1"/>
          <w:sz w:val="22"/>
        </w:rPr>
        <w:t xml:space="preserve"> </w:t>
      </w:r>
      <w:r w:rsidRPr="006D483E">
        <w:rPr>
          <w:rFonts w:ascii="Arial" w:hAnsi="Arial" w:cs="Arial"/>
          <w:i/>
          <w:iCs/>
          <w:color w:val="000000" w:themeColor="text1"/>
          <w:sz w:val="22"/>
        </w:rPr>
        <w:t>partecipazioni a manifestazioni plurisettoriali</w:t>
      </w:r>
      <w:r w:rsidRPr="006D483E">
        <w:rPr>
          <w:rFonts w:ascii="Arial" w:hAnsi="Arial" w:cs="Arial"/>
          <w:color w:val="000000" w:themeColor="text1"/>
          <w:sz w:val="22"/>
        </w:rPr>
        <w:t xml:space="preserve">, importanti occasioni di promozione in Paesi di nuovo </w:t>
      </w:r>
      <w:r>
        <w:rPr>
          <w:rFonts w:ascii="Arial" w:hAnsi="Arial" w:cs="Arial"/>
          <w:color w:val="000000" w:themeColor="text1"/>
          <w:sz w:val="22"/>
        </w:rPr>
        <w:t>sviluppo o di recente apertura, tra cui Facim di Maputo e Salon Promote a Yaoundè.</w:t>
      </w:r>
    </w:p>
    <w:p w:rsidR="007A4C06" w:rsidRDefault="007A4C06" w:rsidP="007A4C06">
      <w:pPr>
        <w:jc w:val="both"/>
        <w:rPr>
          <w:rFonts w:ascii="Arial" w:hAnsi="Arial" w:cs="Arial"/>
          <w:color w:val="000000" w:themeColor="text1"/>
          <w:sz w:val="22"/>
        </w:rPr>
      </w:pPr>
    </w:p>
    <w:p w:rsidR="007A4C06" w:rsidRPr="006D483E" w:rsidRDefault="007A4C06" w:rsidP="007A4C06">
      <w:pPr>
        <w:jc w:val="both"/>
        <w:rPr>
          <w:rFonts w:ascii="Arial" w:hAnsi="Arial" w:cs="Arial"/>
          <w:color w:val="000000" w:themeColor="text1"/>
          <w:sz w:val="22"/>
        </w:rPr>
      </w:pPr>
      <w:r>
        <w:rPr>
          <w:rFonts w:ascii="Arial" w:hAnsi="Arial" w:cs="Arial"/>
          <w:color w:val="000000" w:themeColor="text1"/>
          <w:sz w:val="22"/>
        </w:rPr>
        <w:t>C</w:t>
      </w:r>
      <w:r w:rsidRPr="006D483E">
        <w:rPr>
          <w:rFonts w:ascii="Arial" w:hAnsi="Arial" w:cs="Arial"/>
          <w:color w:val="000000" w:themeColor="text1"/>
          <w:sz w:val="22"/>
        </w:rPr>
        <w:t xml:space="preserve">ompletano il piano le </w:t>
      </w:r>
      <w:r w:rsidRPr="006D483E">
        <w:rPr>
          <w:rFonts w:ascii="Arial" w:hAnsi="Arial" w:cs="Arial"/>
          <w:b/>
          <w:bCs/>
          <w:color w:val="000000" w:themeColor="text1"/>
          <w:sz w:val="22"/>
        </w:rPr>
        <w:t>azioni a carattere trasversale di Collaborazione Industriale (2,5%),</w:t>
      </w:r>
      <w:r>
        <w:rPr>
          <w:rFonts w:ascii="Arial" w:hAnsi="Arial" w:cs="Arial"/>
          <w:b/>
          <w:bCs/>
          <w:color w:val="000000" w:themeColor="text1"/>
          <w:sz w:val="22"/>
        </w:rPr>
        <w:t xml:space="preserve"> </w:t>
      </w:r>
      <w:r>
        <w:rPr>
          <w:rFonts w:ascii="Arial" w:hAnsi="Arial" w:cs="Arial"/>
          <w:color w:val="000000" w:themeColor="text1"/>
          <w:sz w:val="22"/>
        </w:rPr>
        <w:t xml:space="preserve">con interventi in Africa e Medio Oriente nonché Europa e Nord America, </w:t>
      </w:r>
      <w:r w:rsidRPr="006D483E">
        <w:rPr>
          <w:rFonts w:ascii="Arial" w:hAnsi="Arial" w:cs="Arial"/>
          <w:color w:val="000000" w:themeColor="text1"/>
          <w:sz w:val="22"/>
        </w:rPr>
        <w:t xml:space="preserve">e quelle legate alla </w:t>
      </w:r>
      <w:r w:rsidRPr="006D483E">
        <w:rPr>
          <w:rFonts w:ascii="Arial" w:hAnsi="Arial" w:cs="Arial"/>
          <w:b/>
          <w:bCs/>
          <w:color w:val="000000" w:themeColor="text1"/>
          <w:sz w:val="22"/>
        </w:rPr>
        <w:t>Formazione (5,5%)</w:t>
      </w:r>
      <w:r w:rsidRPr="006D483E">
        <w:rPr>
          <w:rFonts w:ascii="Arial" w:hAnsi="Arial" w:cs="Arial"/>
          <w:color w:val="000000" w:themeColor="text1"/>
          <w:sz w:val="22"/>
        </w:rPr>
        <w:t xml:space="preserve"> a favore dell’internazionalizzazione, che affiancano all’</w:t>
      </w:r>
      <w:r w:rsidRPr="006D483E">
        <w:rPr>
          <w:rFonts w:ascii="Arial" w:hAnsi="Arial" w:cs="Arial"/>
          <w:color w:val="000000" w:themeColor="text1"/>
          <w:sz w:val="22"/>
          <w:szCs w:val="21"/>
        </w:rPr>
        <w:t xml:space="preserve">attività rivolta alla formazione di giovani Export Manager, da inserire nelle PMI di nuova o recente internazionalizzazione attraverso Master in collaborazione con Università e Business School, la formazione a carattere innovativo e digitale. </w:t>
      </w:r>
      <w:r w:rsidRPr="006D483E">
        <w:rPr>
          <w:rFonts w:ascii="Arial" w:hAnsi="Arial" w:cs="Arial"/>
          <w:color w:val="000000" w:themeColor="text1"/>
          <w:sz w:val="22"/>
        </w:rPr>
        <w:t xml:space="preserve"> </w:t>
      </w:r>
    </w:p>
    <w:p w:rsidR="007A4C06" w:rsidRPr="006D483E" w:rsidRDefault="007A4C06" w:rsidP="007A4C06">
      <w:pPr>
        <w:jc w:val="both"/>
        <w:rPr>
          <w:rFonts w:ascii="Arial" w:hAnsi="Arial" w:cs="Arial"/>
          <w:color w:val="000000" w:themeColor="text1"/>
          <w:sz w:val="22"/>
        </w:rPr>
      </w:pPr>
    </w:p>
    <w:p w:rsidR="007A4C06" w:rsidRDefault="007A4C06" w:rsidP="007A4C06">
      <w:pPr>
        <w:jc w:val="both"/>
        <w:rPr>
          <w:rFonts w:ascii="Arial" w:hAnsi="Arial" w:cs="Arial"/>
          <w:color w:val="000000" w:themeColor="text1"/>
          <w:sz w:val="22"/>
        </w:rPr>
      </w:pPr>
      <w:r w:rsidRPr="006D483E">
        <w:rPr>
          <w:rFonts w:ascii="Arial" w:hAnsi="Arial" w:cs="Arial"/>
          <w:color w:val="000000" w:themeColor="text1"/>
          <w:sz w:val="22"/>
        </w:rPr>
        <w:t xml:space="preserve">In continuità con quanto già effettuato nel 2017, infine, </w:t>
      </w:r>
      <w:r w:rsidRPr="006D483E">
        <w:rPr>
          <w:rFonts w:ascii="Arial" w:hAnsi="Arial" w:cs="Arial"/>
          <w:b/>
          <w:bCs/>
          <w:color w:val="000000" w:themeColor="text1"/>
          <w:sz w:val="22"/>
        </w:rPr>
        <w:t>il progetto finalizzato all’attrazione degli investimenti esteri (3,5%)</w:t>
      </w:r>
      <w:r w:rsidRPr="006D483E">
        <w:rPr>
          <w:rFonts w:ascii="Arial" w:hAnsi="Arial" w:cs="Arial"/>
          <w:color w:val="000000" w:themeColor="text1"/>
          <w:sz w:val="22"/>
        </w:rPr>
        <w:t xml:space="preserve"> si articola in azioni di comunicazione e di networking, Road Show e seminari volti a promuovere l’offerta di opportunità di investimento in Italia e a favorire incontri con operatori esteri nei settori finanziario e industriale.</w:t>
      </w:r>
    </w:p>
    <w:p w:rsidR="00CB6DEA" w:rsidRDefault="00CB6DEA" w:rsidP="007A4C06">
      <w:pPr>
        <w:pStyle w:val="BodyText2"/>
        <w:rPr>
          <w:i w:val="0"/>
          <w:color w:val="000000" w:themeColor="text1"/>
          <w:sz w:val="22"/>
        </w:rPr>
      </w:pPr>
    </w:p>
    <w:p w:rsidR="007A4C06" w:rsidRPr="005B0A0C" w:rsidRDefault="007A4C06" w:rsidP="007A4C06">
      <w:pPr>
        <w:pStyle w:val="BodyText2"/>
        <w:rPr>
          <w:i w:val="0"/>
          <w:color w:val="000000" w:themeColor="text1"/>
          <w:sz w:val="22"/>
        </w:rPr>
      </w:pPr>
      <w:r w:rsidRPr="005B0A0C">
        <w:rPr>
          <w:i w:val="0"/>
          <w:color w:val="000000" w:themeColor="text1"/>
          <w:sz w:val="22"/>
        </w:rPr>
        <w:t>Con riferimento alle</w:t>
      </w:r>
      <w:r w:rsidRPr="005B0A0C">
        <w:rPr>
          <w:b/>
          <w:bCs/>
          <w:i w:val="0"/>
          <w:color w:val="000000" w:themeColor="text1"/>
          <w:sz w:val="22"/>
        </w:rPr>
        <w:t xml:space="preserve"> tipologie di promozione adottate, </w:t>
      </w:r>
      <w:r w:rsidRPr="005B0A0C">
        <w:rPr>
          <w:bCs/>
          <w:i w:val="0"/>
          <w:color w:val="000000" w:themeColor="text1"/>
          <w:sz w:val="22"/>
        </w:rPr>
        <w:t>qu</w:t>
      </w:r>
      <w:r w:rsidRPr="005B0A0C">
        <w:rPr>
          <w:i w:val="0"/>
          <w:color w:val="000000" w:themeColor="text1"/>
          <w:sz w:val="22"/>
        </w:rPr>
        <w:t xml:space="preserve">est’anno si segnalano </w:t>
      </w:r>
      <w:r w:rsidRPr="005B0A0C">
        <w:rPr>
          <w:b/>
          <w:bCs/>
          <w:i w:val="0"/>
          <w:color w:val="000000" w:themeColor="text1"/>
          <w:sz w:val="22"/>
        </w:rPr>
        <w:t xml:space="preserve">le partecipazioni a manifestazioni espositive </w:t>
      </w:r>
      <w:r w:rsidRPr="005B0A0C">
        <w:rPr>
          <w:i w:val="0"/>
          <w:color w:val="000000" w:themeColor="text1"/>
          <w:sz w:val="22"/>
        </w:rPr>
        <w:t xml:space="preserve">alle quali è destinato il 62,4% dei fondi disponibili e che continuano a rappresentare lo strumento di promotion privilegiato dalle aziende, seguite </w:t>
      </w:r>
      <w:r w:rsidRPr="005B0A0C">
        <w:rPr>
          <w:b/>
          <w:i w:val="0"/>
          <w:color w:val="000000" w:themeColor="text1"/>
          <w:sz w:val="22"/>
        </w:rPr>
        <w:t>dall’organizzazione di giornate tecnologiche, seminari e degustazioni</w:t>
      </w:r>
      <w:r w:rsidRPr="005B0A0C">
        <w:rPr>
          <w:i w:val="0"/>
          <w:color w:val="000000" w:themeColor="text1"/>
          <w:sz w:val="22"/>
        </w:rPr>
        <w:t xml:space="preserve">, dalle </w:t>
      </w:r>
      <w:r w:rsidRPr="005B0A0C">
        <w:rPr>
          <w:b/>
          <w:i w:val="0"/>
          <w:color w:val="000000" w:themeColor="text1"/>
          <w:sz w:val="22"/>
        </w:rPr>
        <w:t>missioni di operatori stranieri</w:t>
      </w:r>
      <w:r w:rsidRPr="005B0A0C">
        <w:rPr>
          <w:i w:val="0"/>
          <w:color w:val="000000" w:themeColor="text1"/>
          <w:sz w:val="22"/>
        </w:rPr>
        <w:t xml:space="preserve"> in Italia, dai </w:t>
      </w:r>
      <w:r w:rsidRPr="005B0A0C">
        <w:rPr>
          <w:b/>
          <w:i w:val="0"/>
          <w:color w:val="000000" w:themeColor="text1"/>
          <w:sz w:val="22"/>
        </w:rPr>
        <w:t>corsi di formazione</w:t>
      </w:r>
      <w:r w:rsidRPr="005B0A0C">
        <w:rPr>
          <w:i w:val="0"/>
          <w:color w:val="000000" w:themeColor="text1"/>
          <w:sz w:val="22"/>
        </w:rPr>
        <w:t xml:space="preserve">, dalle </w:t>
      </w:r>
      <w:r w:rsidRPr="005B0A0C">
        <w:rPr>
          <w:b/>
          <w:i w:val="0"/>
          <w:color w:val="000000" w:themeColor="text1"/>
          <w:sz w:val="22"/>
        </w:rPr>
        <w:t>azioni di comunicazione</w:t>
      </w:r>
      <w:r w:rsidRPr="005B0A0C">
        <w:rPr>
          <w:i w:val="0"/>
          <w:color w:val="000000" w:themeColor="text1"/>
          <w:sz w:val="22"/>
        </w:rPr>
        <w:t xml:space="preserve">, dai </w:t>
      </w:r>
      <w:r w:rsidRPr="005B0A0C">
        <w:rPr>
          <w:b/>
          <w:i w:val="0"/>
          <w:iCs/>
          <w:color w:val="000000" w:themeColor="text1"/>
          <w:sz w:val="22"/>
        </w:rPr>
        <w:t>desk, nuclei operativi e indagini</w:t>
      </w:r>
      <w:r w:rsidRPr="005B0A0C">
        <w:rPr>
          <w:i w:val="0"/>
          <w:color w:val="000000" w:themeColor="text1"/>
          <w:sz w:val="22"/>
        </w:rPr>
        <w:t xml:space="preserve"> finalizzati all’assistenza su specifiche tematiche, quindi</w:t>
      </w:r>
      <w:r w:rsidRPr="005B0A0C">
        <w:rPr>
          <w:i w:val="0"/>
          <w:iCs/>
          <w:color w:val="000000" w:themeColor="text1"/>
          <w:sz w:val="22"/>
        </w:rPr>
        <w:t xml:space="preserve"> l’attività per </w:t>
      </w:r>
      <w:r w:rsidRPr="005B0A0C">
        <w:rPr>
          <w:b/>
          <w:i w:val="0"/>
          <w:iCs/>
          <w:color w:val="000000" w:themeColor="text1"/>
          <w:sz w:val="22"/>
        </w:rPr>
        <w:t>missioni imprenditoriali</w:t>
      </w:r>
      <w:r w:rsidRPr="005B0A0C">
        <w:rPr>
          <w:i w:val="0"/>
          <w:color w:val="000000" w:themeColor="text1"/>
          <w:sz w:val="22"/>
        </w:rPr>
        <w:t>.</w:t>
      </w:r>
    </w:p>
    <w:p w:rsidR="007A4C06" w:rsidRDefault="007A4C06" w:rsidP="007A4C06">
      <w:pPr>
        <w:pStyle w:val="BodyText2"/>
        <w:rPr>
          <w:sz w:val="22"/>
        </w:rPr>
      </w:pPr>
    </w:p>
    <w:p w:rsidR="007A4C06" w:rsidRDefault="007A4C06" w:rsidP="007A4C06">
      <w:pPr>
        <w:jc w:val="both"/>
        <w:rPr>
          <w:sz w:val="22"/>
        </w:rPr>
      </w:pPr>
      <w:r w:rsidRPr="00A5099F">
        <w:rPr>
          <w:rFonts w:ascii="Arial" w:hAnsi="Arial" w:cs="Arial"/>
          <w:i/>
        </w:rPr>
        <w:t xml:space="preserve">Ripartizione stanziamento pubblico per </w:t>
      </w:r>
      <w:r>
        <w:rPr>
          <w:rFonts w:ascii="Arial" w:hAnsi="Arial" w:cs="Arial"/>
          <w:i/>
        </w:rPr>
        <w:t>Tipologia promozionale</w:t>
      </w:r>
    </w:p>
    <w:p w:rsidR="007A4C06" w:rsidRDefault="007A4C06" w:rsidP="007A4C06">
      <w:pPr>
        <w:pStyle w:val="BodyText2"/>
        <w:rPr>
          <w:sz w:val="22"/>
        </w:rPr>
      </w:pPr>
    </w:p>
    <w:p w:rsidR="007A4C06" w:rsidRDefault="007A4C06" w:rsidP="007A4C06">
      <w:pPr>
        <w:pStyle w:val="BodyText2"/>
        <w:rPr>
          <w:sz w:val="22"/>
        </w:rPr>
      </w:pPr>
      <w:r>
        <w:rPr>
          <w:noProof/>
          <w:sz w:val="22"/>
        </w:rPr>
        <w:drawing>
          <wp:inline distT="0" distB="0" distL="0" distR="0" wp14:anchorId="33A9A25A" wp14:editId="0DC624B3">
            <wp:extent cx="6228715" cy="2702933"/>
            <wp:effectExtent l="0" t="0" r="63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4565" cy="2714151"/>
                    </a:xfrm>
                    <a:prstGeom prst="rect">
                      <a:avLst/>
                    </a:prstGeom>
                    <a:noFill/>
                  </pic:spPr>
                </pic:pic>
              </a:graphicData>
            </a:graphic>
          </wp:inline>
        </w:drawing>
      </w:r>
    </w:p>
    <w:p w:rsidR="007A4C06" w:rsidRDefault="007A4C06" w:rsidP="007A4C06">
      <w:pPr>
        <w:pStyle w:val="BodyText2"/>
        <w:rPr>
          <w:sz w:val="22"/>
        </w:rPr>
      </w:pPr>
    </w:p>
    <w:p w:rsidR="007A4C06" w:rsidRDefault="007A4C06" w:rsidP="007A4C06">
      <w:pPr>
        <w:pStyle w:val="BodyText2"/>
        <w:rPr>
          <w:sz w:val="22"/>
        </w:rPr>
      </w:pPr>
    </w:p>
    <w:p w:rsidR="007A4C06" w:rsidRPr="005B0A0C" w:rsidRDefault="007A4C06" w:rsidP="007A4C06">
      <w:pPr>
        <w:pStyle w:val="BodyTextIndent"/>
        <w:ind w:left="0"/>
        <w:rPr>
          <w:rFonts w:cs="Arial"/>
          <w:color w:val="000000" w:themeColor="text1"/>
          <w:sz w:val="22"/>
        </w:rPr>
      </w:pPr>
      <w:r w:rsidRPr="005B0A0C">
        <w:rPr>
          <w:rFonts w:cs="Arial"/>
          <w:color w:val="000000" w:themeColor="text1"/>
          <w:sz w:val="22"/>
        </w:rPr>
        <w:t xml:space="preserve">Per la realizzazione delle attività del Piano, al budget pubblico - </w:t>
      </w:r>
      <w:r w:rsidRPr="005B0A0C">
        <w:rPr>
          <w:rFonts w:cs="Arial"/>
          <w:b/>
          <w:color w:val="000000" w:themeColor="text1"/>
          <w:sz w:val="22"/>
        </w:rPr>
        <w:t>€ 20.000.000</w:t>
      </w:r>
      <w:r w:rsidRPr="005B0A0C">
        <w:rPr>
          <w:rFonts w:cs="Arial"/>
          <w:color w:val="000000" w:themeColor="text1"/>
          <w:sz w:val="22"/>
        </w:rPr>
        <w:t xml:space="preserve"> - si aggiunge il </w:t>
      </w:r>
      <w:r w:rsidRPr="005B0A0C">
        <w:rPr>
          <w:rFonts w:cs="Arial"/>
          <w:b/>
          <w:bCs/>
          <w:color w:val="000000" w:themeColor="text1"/>
          <w:sz w:val="22"/>
        </w:rPr>
        <w:t xml:space="preserve">contributo privato delle aziende partecipanti </w:t>
      </w:r>
      <w:r w:rsidRPr="005B0A0C">
        <w:rPr>
          <w:rFonts w:cs="Arial"/>
          <w:color w:val="000000" w:themeColor="text1"/>
          <w:sz w:val="22"/>
        </w:rPr>
        <w:t xml:space="preserve">alle attività in programma, stimato in </w:t>
      </w:r>
      <w:r w:rsidRPr="005B0A0C">
        <w:rPr>
          <w:b/>
          <w:bCs/>
          <w:color w:val="000000" w:themeColor="text1"/>
          <w:sz w:val="22"/>
        </w:rPr>
        <w:t>€ 7.808.000</w:t>
      </w:r>
      <w:r w:rsidRPr="005B0A0C">
        <w:rPr>
          <w:rFonts w:cs="Arial"/>
          <w:color w:val="000000" w:themeColor="text1"/>
          <w:sz w:val="22"/>
        </w:rPr>
        <w:t xml:space="preserve">, corrispondenti ad una </w:t>
      </w:r>
      <w:r w:rsidRPr="005B0A0C">
        <w:rPr>
          <w:rFonts w:cs="Arial"/>
          <w:b/>
          <w:bCs/>
          <w:color w:val="000000" w:themeColor="text1"/>
          <w:sz w:val="22"/>
        </w:rPr>
        <w:t>quota di contribuzione ai costi complessivi del</w:t>
      </w:r>
      <w:r w:rsidRPr="005B0A0C">
        <w:rPr>
          <w:rFonts w:cs="Arial"/>
          <w:color w:val="000000" w:themeColor="text1"/>
          <w:sz w:val="22"/>
        </w:rPr>
        <w:t xml:space="preserve"> </w:t>
      </w:r>
      <w:r w:rsidRPr="005B0A0C">
        <w:rPr>
          <w:rFonts w:cs="Arial"/>
          <w:b/>
          <w:bCs/>
          <w:color w:val="000000" w:themeColor="text1"/>
          <w:sz w:val="22"/>
        </w:rPr>
        <w:t xml:space="preserve">39%. </w:t>
      </w:r>
    </w:p>
    <w:p w:rsidR="007A4C06" w:rsidRDefault="007A4C06" w:rsidP="007A4C06">
      <w:pPr>
        <w:jc w:val="both"/>
        <w:rPr>
          <w:rFonts w:ascii="Arial" w:hAnsi="Arial" w:cs="Arial"/>
          <w:color w:val="0000FF"/>
          <w:sz w:val="22"/>
        </w:rPr>
      </w:pPr>
    </w:p>
    <w:p w:rsidR="007A4C06" w:rsidRDefault="007A4C06" w:rsidP="007A4C06">
      <w:pPr>
        <w:jc w:val="both"/>
        <w:rPr>
          <w:rFonts w:ascii="Arial" w:hAnsi="Arial" w:cs="Arial"/>
          <w:color w:val="000000" w:themeColor="text1"/>
          <w:sz w:val="22"/>
        </w:rPr>
      </w:pPr>
      <w:r w:rsidRPr="005B0A0C">
        <w:rPr>
          <w:rFonts w:ascii="Arial" w:hAnsi="Arial" w:cs="Arial"/>
          <w:b/>
          <w:bCs/>
          <w:color w:val="000000" w:themeColor="text1"/>
          <w:sz w:val="22"/>
        </w:rPr>
        <w:t>La partecipazione delle aziende alle manifestazioni programmate</w:t>
      </w:r>
      <w:r w:rsidRPr="005B0A0C">
        <w:rPr>
          <w:rFonts w:ascii="Arial" w:hAnsi="Arial" w:cs="Arial"/>
          <w:color w:val="000000" w:themeColor="text1"/>
          <w:sz w:val="22"/>
        </w:rPr>
        <w:t xml:space="preserve">, includendo nella stima sia la partecipazione a titolo oneroso che quella a titolo gratuito, in base alla tipologia e agli obiettivi delle azioni previste, è stimata complessivamente in </w:t>
      </w:r>
      <w:r w:rsidRPr="005B0A0C">
        <w:rPr>
          <w:rFonts w:ascii="Arial" w:hAnsi="Arial" w:cs="Arial"/>
          <w:b/>
          <w:bCs/>
          <w:color w:val="000000" w:themeColor="text1"/>
          <w:sz w:val="22"/>
        </w:rPr>
        <w:t xml:space="preserve">3.910 unità; </w:t>
      </w:r>
      <w:r w:rsidRPr="005B0A0C">
        <w:rPr>
          <w:rFonts w:ascii="Arial" w:hAnsi="Arial" w:cs="Arial"/>
          <w:color w:val="000000" w:themeColor="text1"/>
          <w:sz w:val="22"/>
        </w:rPr>
        <w:t>è previsto inoltre il coinvolgimento di</w:t>
      </w:r>
      <w:r w:rsidRPr="005B0A0C">
        <w:rPr>
          <w:rFonts w:ascii="Arial" w:hAnsi="Arial" w:cs="Arial"/>
          <w:b/>
          <w:bCs/>
          <w:color w:val="000000" w:themeColor="text1"/>
          <w:sz w:val="22"/>
        </w:rPr>
        <w:t xml:space="preserve"> 4.102 operatori esteri </w:t>
      </w:r>
      <w:r w:rsidRPr="005B0A0C">
        <w:rPr>
          <w:rFonts w:ascii="Arial" w:hAnsi="Arial" w:cs="Arial"/>
          <w:color w:val="000000" w:themeColor="text1"/>
          <w:sz w:val="22"/>
        </w:rPr>
        <w:t xml:space="preserve">e l’organizzazione di circa </w:t>
      </w:r>
      <w:r w:rsidRPr="005B0A0C">
        <w:rPr>
          <w:rFonts w:ascii="Arial" w:hAnsi="Arial" w:cs="Arial"/>
          <w:b/>
          <w:color w:val="000000" w:themeColor="text1"/>
          <w:sz w:val="22"/>
        </w:rPr>
        <w:t>6.500</w:t>
      </w:r>
      <w:r w:rsidRPr="005B0A0C">
        <w:rPr>
          <w:rFonts w:ascii="Arial" w:hAnsi="Arial" w:cs="Arial"/>
          <w:b/>
          <w:bCs/>
          <w:color w:val="000000" w:themeColor="text1"/>
          <w:sz w:val="22"/>
        </w:rPr>
        <w:t xml:space="preserve"> incontri b2b</w:t>
      </w:r>
      <w:r w:rsidRPr="005B0A0C">
        <w:rPr>
          <w:rFonts w:ascii="Arial" w:hAnsi="Arial" w:cs="Arial"/>
          <w:color w:val="000000" w:themeColor="text1"/>
          <w:sz w:val="22"/>
        </w:rPr>
        <w:t>.</w:t>
      </w:r>
    </w:p>
    <w:p w:rsidR="007A4C06" w:rsidRDefault="007A4C06" w:rsidP="007A4C06">
      <w:pPr>
        <w:jc w:val="both"/>
        <w:rPr>
          <w:rFonts w:ascii="Arial" w:hAnsi="Arial" w:cs="Arial"/>
          <w:color w:val="000000" w:themeColor="text1"/>
          <w:sz w:val="22"/>
        </w:rPr>
      </w:pPr>
    </w:p>
    <w:p w:rsidR="00DC2786" w:rsidRDefault="00DC2786"/>
    <w:sectPr w:rsidR="00DC2786">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06"/>
    <w:rsid w:val="007A4C06"/>
    <w:rsid w:val="00C63401"/>
    <w:rsid w:val="00CB6DEA"/>
    <w:rsid w:val="00DC2786"/>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0553D-BC8F-41D1-B3E7-2495DDC7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4C06"/>
    <w:pPr>
      <w:spacing w:after="0" w:line="240" w:lineRule="auto"/>
    </w:pPr>
    <w:rPr>
      <w:rFonts w:ascii="Times New Roman" w:eastAsia="Times New Roman" w:hAnsi="Times New Roman" w:cs="Times New Roman"/>
      <w:sz w:val="20"/>
      <w:szCs w:val="20"/>
      <w:lang w:val="it-IT" w:eastAsia="it-IT"/>
    </w:rPr>
  </w:style>
  <w:style w:type="paragraph" w:styleId="Heading4">
    <w:name w:val="heading 4"/>
    <w:basedOn w:val="Normal"/>
    <w:next w:val="Normal"/>
    <w:link w:val="Heading4Char"/>
    <w:qFormat/>
    <w:rsid w:val="007A4C06"/>
    <w:pPr>
      <w:keepNext/>
      <w:spacing w:before="240" w:after="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A4C06"/>
    <w:rPr>
      <w:rFonts w:ascii="Arial" w:eastAsia="Times New Roman" w:hAnsi="Arial" w:cs="Times New Roman"/>
      <w:b/>
      <w:sz w:val="24"/>
      <w:szCs w:val="20"/>
      <w:lang w:val="it-IT" w:eastAsia="it-IT"/>
    </w:rPr>
  </w:style>
  <w:style w:type="paragraph" w:styleId="BodyText">
    <w:name w:val="Body Text"/>
    <w:aliases w:val="Body Text Char1 Char,Body Text Char Char Char,Body Text Char1 Char Char Char,Body Text Char Char Char Char Char,Body Text Char1 Char Char Char Char Char,Body Text Char Char Char Char Char Char Char,Body Text Char4"/>
    <w:basedOn w:val="Normal"/>
    <w:link w:val="BodyTextChar"/>
    <w:semiHidden/>
    <w:rsid w:val="007A4C06"/>
    <w:pPr>
      <w:jc w:val="both"/>
    </w:pPr>
    <w:rPr>
      <w:rFonts w:ascii="Arial" w:hAnsi="Arial"/>
      <w:sz w:val="28"/>
    </w:rPr>
  </w:style>
  <w:style w:type="character" w:customStyle="1" w:styleId="BodyTextChar">
    <w:name w:val="Body Text Char"/>
    <w:aliases w:val="Body Text Char1 Char Char,Body Text Char Char Char Char,Body Text Char1 Char Char Char Char,Body Text Char Char Char Char Char Char,Body Text Char1 Char Char Char Char Char Char,Body Text Char Char Char Char Char Char Char Char"/>
    <w:basedOn w:val="DefaultParagraphFont"/>
    <w:link w:val="BodyText"/>
    <w:semiHidden/>
    <w:rsid w:val="007A4C06"/>
    <w:rPr>
      <w:rFonts w:ascii="Arial" w:eastAsia="Times New Roman" w:hAnsi="Arial" w:cs="Times New Roman"/>
      <w:sz w:val="28"/>
      <w:szCs w:val="20"/>
      <w:lang w:val="it-IT" w:eastAsia="it-IT"/>
    </w:rPr>
  </w:style>
  <w:style w:type="paragraph" w:styleId="BodyText2">
    <w:name w:val="Body Text 2"/>
    <w:basedOn w:val="Normal"/>
    <w:link w:val="BodyText2Char"/>
    <w:semiHidden/>
    <w:rsid w:val="007A4C06"/>
    <w:pPr>
      <w:jc w:val="both"/>
    </w:pPr>
    <w:rPr>
      <w:rFonts w:ascii="Arial" w:hAnsi="Arial"/>
      <w:i/>
      <w:sz w:val="28"/>
    </w:rPr>
  </w:style>
  <w:style w:type="character" w:customStyle="1" w:styleId="BodyText2Char">
    <w:name w:val="Body Text 2 Char"/>
    <w:basedOn w:val="DefaultParagraphFont"/>
    <w:link w:val="BodyText2"/>
    <w:semiHidden/>
    <w:rsid w:val="007A4C06"/>
    <w:rPr>
      <w:rFonts w:ascii="Arial" w:eastAsia="Times New Roman" w:hAnsi="Arial" w:cs="Times New Roman"/>
      <w:i/>
      <w:sz w:val="28"/>
      <w:szCs w:val="20"/>
      <w:lang w:val="it-IT" w:eastAsia="it-IT"/>
    </w:rPr>
  </w:style>
  <w:style w:type="paragraph" w:styleId="BodyTextIndent">
    <w:name w:val="Body Text Indent"/>
    <w:basedOn w:val="Normal"/>
    <w:link w:val="BodyTextIndentChar"/>
    <w:semiHidden/>
    <w:rsid w:val="007A4C06"/>
    <w:pPr>
      <w:ind w:left="-142"/>
      <w:jc w:val="both"/>
    </w:pPr>
    <w:rPr>
      <w:rFonts w:ascii="Arial" w:hAnsi="Arial"/>
    </w:rPr>
  </w:style>
  <w:style w:type="character" w:customStyle="1" w:styleId="BodyTextIndentChar">
    <w:name w:val="Body Text Indent Char"/>
    <w:basedOn w:val="DefaultParagraphFont"/>
    <w:link w:val="BodyTextIndent"/>
    <w:semiHidden/>
    <w:rsid w:val="007A4C06"/>
    <w:rPr>
      <w:rFonts w:ascii="Arial" w:eastAsia="Times New Roman" w:hAnsi="Arial"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Bevilacqua Silvio</dc:creator>
  <cp:keywords/>
  <dc:description/>
  <cp:lastModifiedBy>Bevilacqua Silvio</cp:lastModifiedBy>
  <cp:revision>5</cp:revision>
  <dcterms:created xsi:type="dcterms:W3CDTF">2018-03-02T14:10:00Z</dcterms:created>
  <dcterms:modified xsi:type="dcterms:W3CDTF">2018-03-05T13:25:00Z</dcterms:modified>
</cp:coreProperties>
</file>